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Governance Framework</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GOVERNANCE FRAMEWORK</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p>
      <w:pPr>
        <w:spacing w:after="60"/>
      </w:pPr>
      <w:r>
        <w:rPr>
          <w:rFonts w:ascii="Arial" w:cs="Arial" w:eastAsia="Arial" w:hAnsi="Arial"/>
          <w:b/>
          <w:bCs/>
          <w:color w:val="1D9E75"/>
          <w:sz w:val="18"/>
          <w:szCs w:val="18"/>
        </w:rPr>
        <w:t xml:space="preserve">Open PMO — PMO Governance Templates</w:t>
      </w:r>
    </w:p>
    <w:p>
      <w:pPr>
        <w:pBdr>
          <w:bottom w:val="single" w:color="1D9E75" w:sz="12" w:space="8"/>
        </w:pBdr>
        <w:spacing w:after="40"/>
      </w:pPr>
      <w:r>
        <w:rPr>
          <w:rFonts w:ascii="Arial" w:cs="Arial" w:eastAsia="Arial" w:hAnsi="Arial"/>
          <w:b/>
          <w:bCs/>
          <w:color w:val="0B1929"/>
          <w:sz w:val="52"/>
          <w:szCs w:val="52"/>
        </w:rPr>
        <w:t xml:space="preserve">PMO Governance Framework</w:t>
      </w:r>
    </w:p>
    <w:p>
      <w:pPr>
        <w:spacing w:after="40"/>
      </w:pPr>
      <w:r>
        <w:rPr>
          <w:rFonts w:ascii="Arial" w:cs="Arial" w:eastAsia="Arial" w:hAnsi="Arial"/>
          <w:b w:val="false"/>
          <w:bCs w:val="false"/>
          <w:i w:val="false"/>
          <w:iCs w:val="false"/>
          <w:color w:val="1A2B3C"/>
          <w:sz w:val="22"/>
          <w:szCs w:val="22"/>
        </w:rPr>
        <w:t xml:space="preserve"/>
      </w:r>
    </w:p>
    <w:p>
      <w:pPr>
        <w:spacing w:after="200"/>
      </w:pPr>
      <w:r>
        <w:rPr>
          <w:rFonts w:ascii="Arial" w:cs="Arial" w:eastAsia="Arial" w:hAnsi="Arial"/>
          <w:i/>
          <w:iCs/>
          <w:color w:val="5A6E80"/>
          <w:sz w:val="22"/>
          <w:szCs w:val="22"/>
        </w:rPr>
        <w:t xml:space="preserve">Defining how projects are governed, approved and overseen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tcW w:type="dxa" w:w="226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Project/Programme</w:t>
            </w:r>
          </w:p>
        </w:tc>
        <w:tc>
          <w:tcPr>
            <w:tcW w:type="dxa" w:w="226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tcW w:type="dxa" w:w="225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tcW w:type="dxa" w:w="225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Owner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 Purpose &amp; Scope</w:t>
      </w:r>
    </w:p>
    <w:p>
      <w:pPr>
        <w:spacing w:after="120"/>
      </w:pPr>
      <w:r>
        <w:rPr>
          <w:rFonts w:ascii="Arial" w:cs="Arial" w:eastAsia="Arial" w:hAnsi="Arial"/>
          <w:i/>
          <w:iCs/>
          <w:color w:val="5A6E80"/>
          <w:sz w:val="20"/>
          <w:szCs w:val="20"/>
        </w:rPr>
        <w:t xml:space="preserve">📝 Describe why this governance framework exists and which projects/programmes it applies to.</w:t>
      </w:r>
    </w:p>
    <w:p>
      <w:pPr>
        <w:spacing w:after="140"/>
      </w:pPr>
      <w:r>
        <w:rPr>
          <w:rFonts w:ascii="Arial" w:cs="Arial" w:eastAsia="Arial" w:hAnsi="Arial"/>
          <w:b w:val="false"/>
          <w:bCs w:val="false"/>
          <w:i w:val="false"/>
          <w:iCs w:val="false"/>
          <w:color w:val="1A2B3C"/>
          <w:sz w:val="22"/>
          <w:szCs w:val="22"/>
        </w:rPr>
        <w:t xml:space="preserve">This Governance Framework defines the structures, processes, roles, and accountabilities that govern how projects and programmes are initiated, planned, executed, and closed within [Organisation Name]. It applies to all projects with a budget exceeding [£X] or a duration greater than [X weeks].</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2. PMO Mandate</w:t>
      </w:r>
    </w:p>
    <w:p>
      <w:pPr>
        <w:spacing w:after="120"/>
      </w:pPr>
      <w:r>
        <w:rPr>
          <w:rFonts w:ascii="Arial" w:cs="Arial" w:eastAsia="Arial" w:hAnsi="Arial"/>
          <w:i/>
          <w:iCs/>
          <w:color w:val="5A6E80"/>
          <w:sz w:val="20"/>
          <w:szCs w:val="20"/>
        </w:rPr>
        <w:t xml:space="preserve">📝 Define the PMO's authority level — Supportive, Controlling, or Directive.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PMO Type</w:t>
            </w:r>
          </w:p>
        </w:tc>
        <w:tc>
          <w:tcPr>
            <w:tcW w:type="dxa" w:w="70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Description</w:t>
            </w:r>
          </w:p>
        </w:tc>
      </w:tr>
      <w:tr>
        <w:tc>
          <w:tcPr>
            <w:gridSpan w:val="1"/>
            <w:tcBorders>
              <w:top w:val="single" w:color="DDE5EF" w:sz="1"/>
              <w:left w:val="single" w:color="DDE5EF" w:sz="1"/>
              <w:bottom w:val="single" w:color="DDE5EF" w:sz="1"/>
              <w:right w:val="single" w:color="DDE5EF" w:sz="1"/>
            </w:tcBorders>
            <w:shd w:fill="E8F7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 Controlling</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The PMO sets standards and requires compliance. Project managers must follow defined processes, use approved templates, and report through PMO channels.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 Supportive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The PMO provides templates, training, and guidance. Project managers choose whether to adopt.</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 Directive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The PMO directly manages projects and assigns project managers.</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3. Governance Structure</w:t>
      </w:r>
    </w:p>
    <w:p>
      <w:pPr>
        <w:pStyle w:val="Heading2"/>
        <w:spacing w:after="80" w:before="220"/>
      </w:pPr>
      <w:r>
        <w:rPr>
          <w:rFonts w:ascii="Arial" w:cs="Arial" w:eastAsia="Arial" w:hAnsi="Arial"/>
          <w:b/>
          <w:bCs/>
          <w:color w:val="0B1929"/>
          <w:sz w:val="24"/>
          <w:szCs w:val="24"/>
        </w:rPr>
        <w:t xml:space="preserve">3.1 Governance Bodies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Body</w:t>
            </w:r>
          </w:p>
        </w:tc>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Members</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Frequency</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Chaired By</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Portfolio Review Board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Monthly / Quarterly</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Steering Group</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Monthly / Quarterly</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PMO Operations Meeting</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Monthly / Quarterly</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Change Advisory Board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Monthly / Quarterly</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3.2 Decision Rights Matrix</w:t>
      </w:r>
    </w:p>
    <w:p>
      <w:pPr>
        <w:spacing w:after="120"/>
      </w:pPr>
      <w:r>
        <w:rPr>
          <w:rFonts w:ascii="Arial" w:cs="Arial" w:eastAsia="Arial" w:hAnsi="Arial"/>
          <w:i/>
          <w:iCs/>
          <w:color w:val="5A6E80"/>
          <w:sz w:val="20"/>
          <w:szCs w:val="20"/>
        </w:rPr>
        <w:t xml:space="preserve">📝 Define who can approve what. RAG = who is Responsible, who Approves, who is consulted (Consulted), and who is Informed.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1513"/>
        <w:gridCol w:w="1513"/>
      </w:tblGrid>
      <w:tr>
        <w:tc>
          <w:tcPr>
            <w:tcW w:type="dxa" w:w="3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Decision</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Sponsor</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Portfolio Board</w:t>
            </w:r>
          </w:p>
        </w:tc>
        <w:tc>
          <w:tcPr>
            <w:tcW w:type="dxa" w:w="15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Project Manager</w:t>
            </w:r>
          </w:p>
        </w:tc>
        <w:tc>
          <w:tcPr>
            <w:tcW w:type="dxa" w:w="15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PMO</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Approve new project (&gt;£50k)</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A</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Approve new project (&lt;£50k)</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A</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Approve Stage Gate passage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A</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Approve Change Request (&gt;£10k)</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A</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Approve Change Request (&lt;£10k)</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A</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Escalate to Portfolio Board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A</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Close a project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A</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Approve exceptions to standards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D9E75"/>
                <w:sz w:val="22"/>
                <w:szCs w:val="22"/>
              </w:rPr>
              <w:t xml:space="preserve">A</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
            </w:r>
          </w:p>
        </w:tc>
      </w:tr>
    </w:tbl>
    <w:p>
      <w:pPr>
        <w:spacing w:after="140"/>
      </w:pPr>
      <w:r>
        <w:rPr>
          <w:rFonts w:ascii="Arial" w:cs="Arial" w:eastAsia="Arial" w:hAnsi="Arial"/>
          <w:b w:val="false"/>
          <w:bCs w:val="false"/>
          <w:i/>
          <w:iCs/>
          <w:color w:val="5A6E80"/>
          <w:sz w:val="18"/>
          <w:szCs w:val="18"/>
        </w:rPr>
        <w:t xml:space="preserve">Key: A = Approves  R = Responsible  C = Consulted  I = Informed</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4. Project Lifecycle &amp; Stage Gates</w:t>
      </w:r>
    </w:p>
    <w:p>
      <w:pPr>
        <w:spacing w:after="120"/>
      </w:pPr>
      <w:r>
        <w:rPr>
          <w:rFonts w:ascii="Arial" w:cs="Arial" w:eastAsia="Arial" w:hAnsi="Arial"/>
          <w:i/>
          <w:iCs/>
          <w:color w:val="5A6E80"/>
          <w:sz w:val="20"/>
          <w:szCs w:val="20"/>
        </w:rPr>
        <w:t xml:space="preserve">📝 Define the phases a project passes through and what must be approved at each gate before proceeding.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2013"/>
        <w:gridCol w:w="3013"/>
      </w:tblGrid>
      <w:tr>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Phase</w:t>
            </w:r>
          </w:p>
        </w:tc>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Key Deliverables</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Gate Review</w:t>
            </w:r>
          </w:p>
        </w:tc>
        <w:tc>
          <w:tcPr>
            <w:tcW w:type="dxa" w:w="3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Approval Required From</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1. Initiation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Gate 1</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2. Planning</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Gate 2</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3. Execution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Gate 3</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4. Monitoring &amp; Control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Gate 4</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5. Closure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Gate 5</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5. Escalation Framework</w:t>
      </w:r>
    </w:p>
    <w:p>
      <w:pPr>
        <w:spacing w:after="120"/>
      </w:pPr>
      <w:r>
        <w:rPr>
          <w:rFonts w:ascii="Arial" w:cs="Arial" w:eastAsia="Arial" w:hAnsi="Arial"/>
          <w:i/>
          <w:iCs/>
          <w:color w:val="5A6E80"/>
          <w:sz w:val="20"/>
          <w:szCs w:val="20"/>
        </w:rPr>
        <w:t xml:space="preserve">📝 Define when and how issues escalate through the governance hierarchy.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2500"/>
        <w:gridCol w:w="2513"/>
        <w:gridCol w:w="2813"/>
      </w:tblGrid>
      <w:tr>
        <w:tc>
          <w:tcPr>
            <w:tcW w:type="dxa" w:w="12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Level</w:t>
            </w:r>
          </w:p>
        </w:tc>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Trigger</w:t>
            </w:r>
          </w:p>
        </w:tc>
        <w:tc>
          <w:tcPr>
            <w:tcW w:type="dxa" w:w="25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Escalated To</w:t>
            </w:r>
          </w:p>
        </w:tc>
        <w:tc>
          <w:tcPr>
            <w:tcW w:type="dxa" w:w="28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Timeframe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1</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Issue cannot be resolved at team level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Manager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Within 24 hours</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2</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Issue threatens milestone or budget tolerance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Within 48 hours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3</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Issue threatens programme outcome or strategic objective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Portfolio Review Board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Next scheduled meeting or emergency session</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6. Reporting Cadence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800"/>
        <w:gridCol w:w="1800"/>
        <w:gridCol w:w="2926"/>
      </w:tblGrid>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Report</w:t>
            </w:r>
          </w:p>
        </w:tc>
        <w:tc>
          <w:tcPr>
            <w:tcW w:type="dxa" w:w="1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Frequency</w:t>
            </w:r>
          </w:p>
        </w:tc>
        <w:tc>
          <w:tcPr>
            <w:tcW w:type="dxa" w:w="1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c>
          <w:tcPr>
            <w:tcW w:type="dxa" w:w="29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Audience</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Weekly Status Report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Weekly</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Monthly Portfolio Dashboard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Monthly</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Stage Gate Report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As required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Exception Report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As required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Benefits Realisation Report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As required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7. Roles &amp; Responsibilities</w:t>
      </w:r>
    </w:p>
    <w:p>
      <w:pPr>
        <w:pStyle w:val="Heading3"/>
        <w:spacing w:after="60" w:before="160"/>
      </w:pPr>
      <w:r>
        <w:rPr>
          <w:rFonts w:ascii="Arial" w:cs="Arial" w:eastAsia="Arial" w:hAnsi="Arial"/>
          <w:b/>
          <w:bCs/>
          <w:color w:val="1D9E75"/>
          <w:sz w:val="22"/>
          <w:szCs w:val="22"/>
        </w:rPr>
        <w:t xml:space="preserve">Project Sponsor</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Owns the business case and benefits realisation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Chairs the Project Steering Group</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Approves stage gate passage and significant changes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Provides senior stakeholder engagement</w:t>
      </w:r>
    </w:p>
    <w:p>
      <w:pPr>
        <w:spacing w:after="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1D9E75"/>
          <w:sz w:val="22"/>
          <w:szCs w:val="22"/>
        </w:rPr>
        <w:t xml:space="preserve">Project Manager</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Day-to-day management of the project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Maintains all project documentation and registers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Prepares and distributes status reports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Escalates risks and issues in a timely manner</w:t>
      </w:r>
    </w:p>
    <w:p>
      <w:pPr>
        <w:spacing w:after="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1D9E75"/>
          <w:sz w:val="22"/>
          <w:szCs w:val="22"/>
        </w:rPr>
        <w:t xml:space="preserve">PMO Manager</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Maintains and enforces governance standards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Provides templates, tools, and assurance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Produces portfolio reporting for leadership</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Facilitates lessons learned and continuous improvement</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8. Standards &amp; Compliance</w:t>
      </w:r>
    </w:p>
    <w:p>
      <w:pPr>
        <w:spacing w:after="120"/>
      </w:pPr>
      <w:r>
        <w:rPr>
          <w:rFonts w:ascii="Arial" w:cs="Arial" w:eastAsia="Arial" w:hAnsi="Arial"/>
          <w:i/>
          <w:iCs/>
          <w:color w:val="5A6E80"/>
          <w:sz w:val="20"/>
          <w:szCs w:val="20"/>
        </w:rPr>
        <w:t xml:space="preserve">📝 List the standards, methodologies, or frameworks this governance framework is based on.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PRINCE2® / PRINCE2 Agile®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PMI PMBOK® Guide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APM Body of Knowledge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Organisation's Information Security Policy</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Financial Approval Policy [Reference: XX]</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9. Review &amp; Continuous Improvement</w:t>
      </w:r>
    </w:p>
    <w:p>
      <w:pPr>
        <w:spacing w:after="140"/>
      </w:pPr>
      <w:r>
        <w:rPr>
          <w:rFonts w:ascii="Arial" w:cs="Arial" w:eastAsia="Arial" w:hAnsi="Arial"/>
          <w:b w:val="false"/>
          <w:bCs w:val="false"/>
          <w:i w:val="false"/>
          <w:iCs w:val="false"/>
          <w:color w:val="1A2B3C"/>
          <w:sz w:val="22"/>
          <w:szCs w:val="22"/>
        </w:rPr>
        <w:t xml:space="preserve">This framework will be reviewed [annually / after each major project] by the PMO Manager and approved by the Portfolio Review Board. Suggestions for improvement should be submitted to [email/channel].</w:t>
      </w:r>
    </w:p>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5EF" w:sz="4" w:space="6"/>
      </w:pBdr>
      <w:jc w:val="center"/>
    </w:pPr>
    <w:r>
      <w:rPr>
        <w:rFonts w:ascii="Arial" w:cs="Arial" w:eastAsia="Arial" w:hAnsi="Arial"/>
        <w:color w:val="5A6E80"/>
        <w:sz w:val="16"/>
        <w:szCs w:val="16"/>
      </w:rPr>
      <w:t xml:space="preserve">Open PMO — openpmo.org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1929"/>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1929"/>
      <w:sz w:val="24"/>
      <w:szCs w:val="24"/>
    </w:rPr>
  </w:style>
  <w:style w:type="paragraph" w:styleId="Heading3">
    <w:name w:val="Heading 3"/>
    <w:basedOn w:val="Normal"/>
    <w:next w:val="Normal"/>
    <w:qFormat/>
    <w:pPr>
      <w:spacing w:after="60" w:before="160"/>
      <w:outlineLvl w:val="2"/>
    </w:pPr>
    <w:rPr>
      <w:rFonts w:ascii="Arial" w:cs="Arial" w:eastAsia="Arial" w:hAnsi="Arial"/>
      <w:b/>
      <w:bCs/>
      <w:color w:val="1D9E75"/>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2026-07-03T12:17:37.740Z</dcterms:created>
  <dcterms:modified xsi:type="dcterms:W3CDTF">2026-07-03T12:17:37.741Z</dcterms:modified>
</cp:coreProperties>
</file>

<file path=docProps/custom.xml><?xml version="1.0" encoding="utf-8"?>
<Properties xmlns="http://schemas.openxmlformats.org/officeDocument/2006/custom-properties" xmlns:vt="http://schemas.openxmlformats.org/officeDocument/2006/docPropsVTypes"/>
</file>